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DA2" w:rsidRPr="00A26DA2" w:rsidRDefault="00A26DA2" w:rsidP="00A26DA2">
      <w:pPr>
        <w:rPr>
          <w:rFonts w:ascii="TH NiramitIT๙" w:eastAsia="Times New Roman" w:hAnsi="TH NiramitIT๙" w:cs="TH NiramitIT๙"/>
          <w:color w:val="00B050"/>
          <w:lang w:eastAsia="en-GB"/>
        </w:rPr>
      </w:pPr>
      <w:r w:rsidRPr="00A26DA2">
        <w:rPr>
          <w:rFonts w:ascii="TH NiramitIT๙" w:eastAsia="Times New Roman" w:hAnsi="TH NiramitIT๙" w:cs="TH NiramitIT๙"/>
          <w:b/>
          <w:bCs/>
          <w:color w:val="00B050"/>
          <w:cs/>
          <w:lang w:eastAsia="en-GB"/>
        </w:rPr>
        <w:t>หลักความเสมอภาค  (</w:t>
      </w:r>
      <w:r w:rsidRPr="00A26DA2">
        <w:rPr>
          <w:rFonts w:ascii="TH NiramitIT๙" w:eastAsia="Times New Roman" w:hAnsi="TH NiramitIT๙" w:cs="TH NiramitIT๙"/>
          <w:b/>
          <w:bCs/>
          <w:color w:val="00B050"/>
          <w:lang w:eastAsia="en-GB"/>
        </w:rPr>
        <w:t>Equity)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       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ความเสมอภาค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ใน กม.รัฐธรรมนูญได้กำหนดเรียงความเสมอภาคไว้ชัดเจนไม่ว่าจะเป็นการศึกษา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,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การบริการสาธารณสุข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,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การค้า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,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การลงทุน  การได้รับข้อมูลข่าวสารอย่างเสมอภาค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“</w:t>
      </w:r>
      <w:proofErr w:type="gramStart"/>
      <w:r w:rsidRPr="00A26DA2">
        <w:rPr>
          <w:rFonts w:ascii="TH NiramitIT๙" w:eastAsia="Times New Roman" w:hAnsi="TH NiramitIT๙" w:cs="TH NiramitIT๙"/>
          <w:cs/>
          <w:lang w:eastAsia="en-GB"/>
        </w:rPr>
        <w:t>บุคคลย่อมเสมอภาคกัน  ในกฎหมายและการได้รับความคุ้มครองตามกฎหมายเท่าเทียมกัน</w:t>
      </w:r>
      <w:proofErr w:type="gramEnd"/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  ไม่มีการเลือกปฏิบัติจากเหตุแห่งความแตกต่าง”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 (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Equity)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ในหลักธรรมา</w:t>
      </w:r>
      <w:proofErr w:type="spellStart"/>
      <w:r w:rsidRPr="00A26DA2">
        <w:rPr>
          <w:rFonts w:ascii="TH NiramitIT๙" w:eastAsia="Times New Roman" w:hAnsi="TH NiramitIT๙" w:cs="TH NiramitIT๙"/>
          <w:cs/>
          <w:lang w:eastAsia="en-GB"/>
        </w:rPr>
        <w:t>ภิ</w:t>
      </w:r>
      <w:proofErr w:type="spellEnd"/>
      <w:r w:rsidRPr="00A26DA2">
        <w:rPr>
          <w:rFonts w:ascii="TH NiramitIT๙" w:eastAsia="Times New Roman" w:hAnsi="TH NiramitIT๙" w:cs="TH NiramitIT๙"/>
          <w:cs/>
          <w:lang w:eastAsia="en-GB"/>
        </w:rPr>
        <w:t>บาลของการบริหารบ้านเมืองที่ดีนั้นคือ การปฏิบัติราชการที่ให้บริการแก่ประชาชนทุกคนอย่างเท่าเทียมกัน โดยที่ไม่มีข้อจำกัดในเรื่องเพศ วัย ภาษา ฐานะ ที่อยู่อาศัย หรือแม้แต่ความสมบูรณ์ของสภาพร่างกาย ซึ่งจะต้องได้รับบริการจากรัฐอย่างเท่าเทียมกัน</w:t>
      </w:r>
    </w:p>
    <w:p w:rsidR="00A26DA2" w:rsidRPr="00A26DA2" w:rsidRDefault="00A26DA2" w:rsidP="00A26DA2">
      <w:pPr>
        <w:jc w:val="center"/>
        <w:rPr>
          <w:rFonts w:ascii="TH NiramitIT๙" w:eastAsia="Times New Roman" w:hAnsi="TH NiramitIT๙" w:cs="TH NiramitIT๙"/>
          <w:color w:val="BF8F00" w:themeColor="accent4" w:themeShade="BF"/>
          <w:lang w:eastAsia="en-GB"/>
        </w:rPr>
      </w:pPr>
      <w:r w:rsidRPr="00A26DA2">
        <w:rPr>
          <w:rFonts w:ascii="TH NiramitIT๙" w:eastAsia="Times New Roman" w:hAnsi="TH NiramitIT๙" w:cs="TH NiramitIT๙"/>
          <w:color w:val="BF8F00" w:themeColor="accent4" w:themeShade="BF"/>
          <w:cs/>
          <w:lang w:eastAsia="en-GB"/>
        </w:rPr>
        <w:t>หลักความเสมอภาค (</w:t>
      </w:r>
      <w:r w:rsidRPr="00A26DA2">
        <w:rPr>
          <w:rFonts w:ascii="TH NiramitIT๙" w:eastAsia="Times New Roman" w:hAnsi="TH NiramitIT๙" w:cs="TH NiramitIT๙"/>
          <w:color w:val="BF8F00" w:themeColor="accent4" w:themeShade="BF"/>
          <w:lang w:eastAsia="en-GB"/>
        </w:rPr>
        <w:t xml:space="preserve">Equity) </w:t>
      </w:r>
      <w:r w:rsidRPr="00A26DA2">
        <w:rPr>
          <w:rFonts w:ascii="TH NiramitIT๙" w:eastAsia="Times New Roman" w:hAnsi="TH NiramitIT๙" w:cs="TH NiramitIT๙"/>
          <w:color w:val="BF8F00" w:themeColor="accent4" w:themeShade="BF"/>
          <w:cs/>
          <w:lang w:eastAsia="en-GB"/>
        </w:rPr>
        <w:t>และ สิทธิมนุษยชน (</w:t>
      </w:r>
      <w:r w:rsidRPr="00A26DA2">
        <w:rPr>
          <w:rFonts w:ascii="TH NiramitIT๙" w:eastAsia="Times New Roman" w:hAnsi="TH NiramitIT๙" w:cs="TH NiramitIT๙"/>
          <w:color w:val="BF8F00" w:themeColor="accent4" w:themeShade="BF"/>
          <w:lang w:eastAsia="en-GB"/>
        </w:rPr>
        <w:t xml:space="preserve">Human Rights) </w:t>
      </w:r>
      <w:r w:rsidRPr="00A26DA2">
        <w:rPr>
          <w:rFonts w:ascii="TH NiramitIT๙" w:eastAsia="Times New Roman" w:hAnsi="TH NiramitIT๙" w:cs="TH NiramitIT๙"/>
          <w:color w:val="BF8F00" w:themeColor="accent4" w:themeShade="BF"/>
          <w:cs/>
          <w:lang w:eastAsia="en-GB"/>
        </w:rPr>
        <w:t>เหมือนหรือแตกต่างกันอย่างไร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สิทธิมนุษยชนนั้นเป็นการรับรองว่า ทุกคนที่เกิดเป็นมนุษย์ย่อมมีสิทธิเสรีภาพ และศักดิ์ศรี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ส่วน”หลักความเสมอภาค” ก็จะเป็นแนวปฏิบัติให้รัฐปฏิบัติต่อประชาชนอย่างเท่าเทียมกันความสิทธิมนุษยชนของประชาชนทุกคนนั่นเอง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อธิบาย สิทธิมนุษยชน (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Human Rights)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ดังนี้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รัฐธรรมนูญ </w:t>
      </w:r>
      <w:r w:rsidRPr="00A26DA2">
        <w:rPr>
          <w:rFonts w:ascii="TH NiramitIT๙" w:eastAsia="Times New Roman" w:hAnsi="TH NiramitIT๙" w:cs="TH NiramitIT๙"/>
          <w:lang w:eastAsia="en-GB"/>
        </w:rPr>
        <w:t>2550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สิทธิมนุษยชนคนไทยนั้น ได้ถูกรับรองใน รัฐธรรมนูญแห่งราชอาณาจักรไทยในหมวดที่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3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สั่งกำหนดให้องค์กรของรัฐทุกองค์กรคำนึงถึงความเป็นมนุษย์สิทธิและเสรีภาพของประชาชน และประชาชนแต่ละคนสามารถใช้สิทธิและเสรีภาพตามความเป็นมนุษย์ของตนเองอย่างไรก็ได้ ตามแต่จะไม่ละเมิดสิทธิเสรีภาพของคนอื่น ไม่เป็นปฏิบัติต่อ  รัฐธรรมนูญ และไม่ขัดต่อหลักศีลธรรมชั้นดีของประชาชน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สิทธิมนุยชน ดังนี้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ความเสมอภาค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สิทธิและเสรีภาพส่วนบุคคล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สิทธิ์ในกฎหมายยุติธรรม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สิทธิในทรัพย์สิน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สิทธิและเสรีภาพในการประกอบอาชีพ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สิทธิและเสรีและเสรีภาพในการศึกษา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สิทธิในการได้รับบริการสาธารณสุขและสวัสดิการจากรัฐ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สิทธิในข้อมูลข่าวสารและการร้องเรียน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เสรีภาพในการชุมนุมและการสมาคม</w:t>
      </w:r>
    </w:p>
    <w:p w:rsidR="00A26DA2" w:rsidRPr="00A26DA2" w:rsidRDefault="00A26DA2" w:rsidP="00A26DA2">
      <w:pPr>
        <w:ind w:firstLine="2268"/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สิทธิชุมชน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เมื่อกล่าวถึง สิทธิมนุษยชนแล้ว รัฐธรรมนูญก็ให้เรื่องความเสมอภาคมาเป็นอันดับแรกเพราะหลักความเสมอภาคเป็นหลักพื้นฐานของศักดิ์ศรีความเป็นมนุษย์</w:t>
      </w:r>
    </w:p>
    <w:p w:rsid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โดยปฏิบัติราชการ ต้องไม่เป็นไปเพื่อประโยชน์ของบุคคลใดเป็นพิเศษ และจะต้องเท่าเทียมและเสมอภาคกันทุกกลุ่ม</w:t>
      </w:r>
    </w:p>
    <w:p w:rsid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</w:p>
    <w:p w:rsidR="00A26DA2" w:rsidRPr="00A26DA2" w:rsidRDefault="00A26DA2" w:rsidP="00A26DA2">
      <w:pPr>
        <w:jc w:val="center"/>
        <w:rPr>
          <w:rFonts w:ascii="TH NiramitIT๙" w:eastAsia="Times New Roman" w:hAnsi="TH NiramitIT๙" w:cs="TH NiramitIT๙" w:hint="cs"/>
          <w:lang w:eastAsia="en-GB"/>
        </w:rPr>
      </w:pPr>
      <w:r>
        <w:rPr>
          <w:rFonts w:ascii="TH NiramitIT๙" w:eastAsia="Times New Roman" w:hAnsi="TH NiramitIT๙" w:cs="TH NiramitIT๙" w:hint="cs"/>
          <w:cs/>
          <w:lang w:eastAsia="en-GB"/>
        </w:rPr>
        <w:lastRenderedPageBreak/>
        <w:t>-๒-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-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หลักความเสมอภาคสามารถใช้อำนาจรัฐเป็นหลักสำคัญในการรับรอง และคุ้มครองสิทธิและเสรีภาพของประชาชน และสามารถนำมาตรวจสอบการใช้อำนาจของรัฐ ทั้งนี้ เพื่อควบคุมไม่ให้รัฐใช้อำนาจของตนตามอำเภอใจและการใช้อำนาจของรัฐเรื่องใดก็ตาม รัฐต้องสามารถอธิบายเหตุผลให้ได้ด้วย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หลักความเสมอภาคถือว่าเป็นหลักพื้นฐานของศักดิ์ศรีและความเป็นมนุษย์ (</w:t>
      </w:r>
      <w:r w:rsidRPr="00A26DA2">
        <w:rPr>
          <w:rFonts w:ascii="TH NiramitIT๙" w:eastAsia="Times New Roman" w:hAnsi="TH NiramitIT๙" w:cs="TH NiramitIT๙"/>
          <w:lang w:eastAsia="en-GB"/>
        </w:rPr>
        <w:t>Human Dignity)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ความเสมอภาค/ความเที่ยงธรรม (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Equity)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หมายถึงผู้บริหารจะต้องปฏิบัติหน้าที่และให้ประโยชน์อันพึงมีในเรื่องต่าง</w:t>
      </w:r>
      <w:r>
        <w:rPr>
          <w:rFonts w:ascii="TH NiramitIT๙" w:eastAsia="Times New Roman" w:hAnsi="TH NiramitIT๙" w:cs="TH NiramitIT๙" w:hint="cs"/>
          <w:cs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ๆกับทุกฝ่ายที่เกี่ยวข้องอย่างเท่าเทียมและเป็นธรรม โดยไม่คำนึงถึงพรรคพวกหรือให้สิทธิประโยชน์แก่กลุ่มใดกลุ่มหนึ่งเป็นพิเศษ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การอธิบาย “หลักความเสมอภาค” ตามรัฐธรรมนูญแห่งราชอาณาจักรไทยที่มีผลต่อประชนชนทุกคน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พระบรมราโชวาท พระบาทสมเด็จพระเจ้าอยู่หัว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>“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ในบ้านเมืองนั้น มีทั้งคนดีและไม่ดี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ไม่มีใครจะทำให้คนทุกคนเป็นคนดีได้ทั้งหมด</w:t>
      </w:r>
      <w:r w:rsidRPr="00A26DA2">
        <w:rPr>
          <w:rFonts w:ascii="TH NiramitIT๙" w:eastAsia="Times New Roman" w:hAnsi="TH NiramitIT๙" w:cs="TH NiramitIT๙"/>
          <w:lang w:eastAsia="en-GB"/>
        </w:rPr>
        <w:t> 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การทำให้บ้านเมืองมีความปกติสุขเรียบร้อย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จึงมิใช่การทำให้ทุกคนเป็นคนดี หากแต่อยู่ที่การส่งเสริมคนดี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ให้คนดีได้ปกครองบ้านเมือง และควบคุมไม่ดีไม่ให้มีอำนาจ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ไม่ให้ก่อความเดือดร้อนวุ่นวายได้”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พระบรมราโชวาทในพิธีเปิดงานชุมนุมลูกเสือแห่งชาติ ครั้งที่ </w:t>
      </w:r>
      <w:r w:rsidRPr="00A26DA2">
        <w:rPr>
          <w:rFonts w:ascii="TH NiramitIT๙" w:eastAsia="Times New Roman" w:hAnsi="TH NiramitIT๙" w:cs="TH NiramitIT๙"/>
          <w:lang w:eastAsia="en-GB"/>
        </w:rPr>
        <w:t>6 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ณ ค่ายลูกเสือวชิราวุธ อำเภอศรีราชา จังหวัดชลบุรี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วันที่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11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ธันวาคม </w:t>
      </w:r>
      <w:r w:rsidRPr="00A26DA2">
        <w:rPr>
          <w:rFonts w:ascii="TH NiramitIT๙" w:eastAsia="Times New Roman" w:hAnsi="TH NiramitIT๙" w:cs="TH NiramitIT๙"/>
          <w:lang w:eastAsia="en-GB"/>
        </w:rPr>
        <w:t>2512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ดังนั้นเรื่องสิทธิเสรีภาพ ความเสมอภาคทั้งหลายเหล่านี้ จึงต้องมีการเรียนอย่างชัดเจนในรัฐธรรมนูญและเป็นหน้าที่ของประชาชนที่จะทำความเข้าใจและรักษาสิทธิของตนด้ว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หลักความเสมอภาค แบ่งไว้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2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ส่วนได้แก่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1.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หลักความเสมอภาคทั่วไป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2.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หลักความเสมอภาคเฉพาะเรื่อง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หลักความเสมอภาคทั่วไป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กล่าวไว้ว่า บุคคลย่อมเสมอกันในทางกฎหมาย ต่างได้รับความคุ้มครองด้านความเท่าเทียมกันมาตรา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31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วรรค </w:t>
      </w:r>
      <w:r w:rsidRPr="00A26DA2">
        <w:rPr>
          <w:rFonts w:ascii="TH NiramitIT๙" w:eastAsia="Times New Roman" w:hAnsi="TH NiramitIT๙" w:cs="TH NiramitIT๙"/>
          <w:lang w:eastAsia="en-GB"/>
        </w:rPr>
        <w:t>1 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หลักความเสมอภาคเฉพาะเรื่องตามหลักรัฐธรรมนูญ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สำหรับ “ความเสมอภาคเฉพาะเรื่อง” นั้น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ได้แก่    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1.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ความมีสิทธิเท่าเทียมกันระหว่างหญิงและชาย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30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วรรค </w:t>
      </w:r>
      <w:r w:rsidRPr="00A26DA2">
        <w:rPr>
          <w:rFonts w:ascii="TH NiramitIT๙" w:eastAsia="Times New Roman" w:hAnsi="TH NiramitIT๙" w:cs="TH NiramitIT๙"/>
          <w:lang w:eastAsia="en-GB"/>
        </w:rPr>
        <w:t>2)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2.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การศึกษาขั้นพื้นฐานไม่น้อยกว่า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12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ปี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43) 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3.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บุคคลมีสิทธิเสมอกันในการรับบริการสาธารณสุขที่ได้มาตรฐานและผู้ยากไร้มีสิทธิได้รับการบริการโดยไม่เสียค่าใช้จ่าย</w:t>
      </w:r>
    </w:p>
    <w:p w:rsid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4.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สิทธิได้รับความคุ้มครองโดยรัฐ จากการใช้ความรุนแรงและการปฏิบัติไม่เป็นธรรม เด็กและเยาวชนซึ้งไม่มีผู้ดูแล มีสิทธิได้รับการเลี้ยงดูและการศึกษาอบรมจากรัฐ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53)</w:t>
      </w:r>
    </w:p>
    <w:p w:rsid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</w:p>
    <w:p w:rsidR="00A26DA2" w:rsidRPr="00A26DA2" w:rsidRDefault="00A26DA2" w:rsidP="00A26DA2">
      <w:pPr>
        <w:jc w:val="center"/>
        <w:rPr>
          <w:rFonts w:ascii="TH NiramitIT๙" w:eastAsia="Times New Roman" w:hAnsi="TH NiramitIT๙" w:cs="TH NiramitIT๙" w:hint="cs"/>
          <w:lang w:eastAsia="en-GB"/>
        </w:rPr>
      </w:pPr>
      <w:r>
        <w:rPr>
          <w:rFonts w:ascii="TH NiramitIT๙" w:eastAsia="Times New Roman" w:hAnsi="TH NiramitIT๙" w:cs="TH NiramitIT๙" w:hint="cs"/>
          <w:cs/>
          <w:lang w:eastAsia="en-GB"/>
        </w:rPr>
        <w:t>-๓-</w:t>
      </w:r>
    </w:p>
    <w:p w:rsid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5.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บุคคลอายุ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60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ปีบริบูรณ์และไม่มีรายได้เพียงพอแก่การยังชีพมีสิทธิได้รับการช่วยเหลือจากรัฐ 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54)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6.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ผู้พิการมีสิทธิได้รับความช่วยเหลือจากรัฐ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55)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7.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หลักความเสมอภาคในการเลือกตั้ง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104)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8.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ความเสมอภาคของพรรคการเมือง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113)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9.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ความเสมอภาคของผู้สมัครรับเลือกตั้งเป็นวุฒิสภา (มาตรา </w:t>
      </w:r>
      <w:r w:rsidRPr="00A26DA2">
        <w:rPr>
          <w:rFonts w:ascii="TH NiramitIT๙" w:eastAsia="Times New Roman" w:hAnsi="TH NiramitIT๙" w:cs="TH NiramitIT๙"/>
          <w:lang w:eastAsia="en-GB"/>
        </w:rPr>
        <w:t>129)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มองออกไปนอกประเทศก็เห็นตั้งแต่ วอนสตรีทถึงตะวันออกกลาง เอเซียนปละประเทศเราเอง เรายังอยู่ในโลกความไม่เสมอภาค</w:t>
      </w:r>
      <w:proofErr w:type="spellStart"/>
      <w:r w:rsidRPr="00A26DA2">
        <w:rPr>
          <w:rFonts w:ascii="TH NiramitIT๙" w:eastAsia="Times New Roman" w:hAnsi="TH NiramitIT๙" w:cs="TH NiramitIT๙"/>
          <w:cs/>
          <w:lang w:eastAsia="en-GB"/>
        </w:rPr>
        <w:t>จริงๆ</w:t>
      </w:r>
      <w:proofErr w:type="spellEnd"/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จากการศึกษาข้อมูลทั่วโลก ความไม่เสมอภาคจะจัดกลุ่มได้เป็น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4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ด้าน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การศึกษาความไม่เสมอภาคและความไม่เท่าเทียมกันทางสังคม โดย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MDG Achievement Fund and Institute of Development Studies (IDS)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สรุปความไม่เสมอภาค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4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ด้าน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1.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ด้านวัฒนธรรมการแบ่งแยกคนกลุ่ม</w:t>
      </w:r>
      <w:proofErr w:type="spellStart"/>
      <w:r w:rsidRPr="00A26DA2">
        <w:rPr>
          <w:rFonts w:ascii="TH NiramitIT๙" w:eastAsia="Times New Roman" w:hAnsi="TH NiramitIT๙" w:cs="TH NiramitIT๙"/>
          <w:cs/>
          <w:lang w:eastAsia="en-GB"/>
        </w:rPr>
        <w:t>ต่างๆ</w:t>
      </w:r>
      <w:proofErr w:type="spellEnd"/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สีผิว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,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ชนชั้นวรรณะ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2.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ด้านการเมือง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    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นโยบายของรัฐ การตัดสินใจในการจัดทำโดยภาครัฐที่มีผลกระทบต่อความเป็นอยู่ของคนบางกลุ่ม</w:t>
      </w:r>
      <w:r w:rsidRPr="00A26DA2">
        <w:rPr>
          <w:rFonts w:ascii="TH NiramitIT๙" w:eastAsia="Times New Roman" w:hAnsi="TH NiramitIT๙" w:cs="TH NiramitIT๙"/>
          <w:lang w:eastAsia="en-GB"/>
        </w:rPr>
        <w:t>,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บางชุมชน บางครั้งผู้ที่อยู่ในพื้นที่ห่างไกล ก็จะถูกละเลยโดยปริยาย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3.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ด้านพื้นที่อยู่อาศัย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4.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ด้านเศรษฐกิจ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  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ก็คือ ให้กระจายทรัพยากร กระจายรายได้อย่างไม่ทั่วถึง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เช่น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สัดส่วนการถือครองที่ดินในประเทศไทย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30,000,000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คน มีที่ดิน น้อยกว่า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1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ไร่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4,500 </w:t>
      </w:r>
      <w:proofErr w:type="gramStart"/>
      <w:r w:rsidRPr="00A26DA2">
        <w:rPr>
          <w:rFonts w:ascii="TH NiramitIT๙" w:eastAsia="Times New Roman" w:hAnsi="TH NiramitIT๙" w:cs="TH NiramitIT๙"/>
          <w:cs/>
          <w:lang w:eastAsia="en-GB"/>
        </w:rPr>
        <w:t>คน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 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มีที่ดิน</w:t>
      </w:r>
      <w:proofErr w:type="gramEnd"/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100 – 999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ไร่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113 </w:t>
      </w:r>
      <w:proofErr w:type="gramStart"/>
      <w:r w:rsidRPr="00A26DA2">
        <w:rPr>
          <w:rFonts w:ascii="TH NiramitIT๙" w:eastAsia="Times New Roman" w:hAnsi="TH NiramitIT๙" w:cs="TH NiramitIT๙"/>
          <w:cs/>
          <w:lang w:eastAsia="en-GB"/>
        </w:rPr>
        <w:t>คน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 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มีที่ดิน</w:t>
      </w:r>
      <w:proofErr w:type="gramEnd"/>
      <w:r w:rsidRPr="00A26DA2">
        <w:rPr>
          <w:rFonts w:ascii="TH NiramitIT๙" w:eastAsia="Times New Roman" w:hAnsi="TH NiramitIT๙" w:cs="TH NiramitIT๙"/>
          <w:cs/>
          <w:lang w:eastAsia="en-GB"/>
        </w:rPr>
        <w:t xml:space="preserve"> มากกว่า 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1,000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ไร่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น่าตกใจที่ความร่ำรวยไปกระจุกอยู่ที่คนกลุ่มหนึ่ง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รวยกระจุก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จนกระจาย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และข้อสำคัญ ความเสมอภาคทั้งหลายเหล่านี้ ไม่ได้เกิดขึ้นมาโดยบังเอิญ แต่เกิดมาจากผลนโยบายและการปฏิบัติงานของรัฐ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lang w:eastAsia="en-GB"/>
        </w:rPr>
        <w:t xml:space="preserve">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เราคงต้องยอมรับว่า ความไม่เสมอภาคเป็นเรื่องที่พูดง่ายแต่ทำยากแต่ก็ต้องทำ และสิ่งที่จะต้องผลักดันในการเตรียมความพร้อมก็คือ ความยุติธรรม</w:t>
      </w:r>
    </w:p>
    <w:p w:rsidR="00A26DA2" w:rsidRPr="00A26DA2" w:rsidRDefault="00A26DA2" w:rsidP="00A26DA2">
      <w:pPr>
        <w:rPr>
          <w:rFonts w:ascii="TH NiramitIT๙" w:eastAsia="Times New Roman" w:hAnsi="TH NiramitIT๙" w:cs="TH NiramitIT๙"/>
          <w:lang w:eastAsia="en-GB"/>
        </w:rPr>
      </w:pPr>
      <w:r w:rsidRPr="00A26DA2">
        <w:rPr>
          <w:rFonts w:ascii="TH NiramitIT๙" w:eastAsia="Times New Roman" w:hAnsi="TH NiramitIT๙" w:cs="TH NiramitIT๙"/>
          <w:cs/>
          <w:lang w:eastAsia="en-GB"/>
        </w:rPr>
        <w:t>ความไม่เสมอภาค</w:t>
      </w:r>
      <w:r w:rsidRPr="00A26DA2">
        <w:rPr>
          <w:rFonts w:ascii="TH NiramitIT๙" w:eastAsia="Times New Roman" w:hAnsi="TH NiramitIT๙" w:cs="TH NiramitIT๙"/>
          <w:lang w:eastAsia="en-GB"/>
        </w:rPr>
        <w:t xml:space="preserve">  </w:t>
      </w:r>
      <w:r w:rsidRPr="00A26DA2">
        <w:rPr>
          <w:rFonts w:ascii="TH NiramitIT๙" w:eastAsia="Times New Roman" w:hAnsi="TH NiramitIT๙" w:cs="TH NiramitIT๙"/>
          <w:cs/>
          <w:lang w:eastAsia="en-GB"/>
        </w:rPr>
        <w:t>ความไม่ยุติธรรม</w:t>
      </w:r>
      <w:bookmarkStart w:id="0" w:name="_GoBack"/>
      <w:bookmarkEnd w:id="0"/>
    </w:p>
    <w:p w:rsidR="005564F5" w:rsidRDefault="005564F5">
      <w:pPr>
        <w:rPr>
          <w:rFonts w:ascii="TH NiramitIT๙" w:hAnsi="TH NiramitIT๙" w:cs="TH NiramitIT๙"/>
        </w:rPr>
      </w:pPr>
    </w:p>
    <w:p w:rsidR="00A26DA2" w:rsidRPr="00A26DA2" w:rsidRDefault="00A26DA2" w:rsidP="00A26DA2">
      <w:pPr>
        <w:jc w:val="center"/>
        <w:rPr>
          <w:rFonts w:ascii="TH NiramitIT๙" w:hAnsi="TH NiramitIT๙" w:cs="TH NiramitIT๙" w:hint="cs"/>
          <w:b/>
          <w:bCs/>
          <w:color w:val="FF0000"/>
        </w:rPr>
      </w:pP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00B050"/>
        </w:rPr>
        <w:sym w:font="Wingdings" w:char="F07B"/>
      </w:r>
      <w:r w:rsidRPr="00A26DA2">
        <w:rPr>
          <w:rFonts w:ascii="TH NiramitIT๙" w:hAnsi="TH NiramitIT๙" w:cs="TH NiramitIT๙" w:hint="cs"/>
          <w:b/>
          <w:bCs/>
          <w:color w:val="00B05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00B050"/>
        </w:rPr>
        <w:sym w:font="Wingdings" w:char="F07B"/>
      </w:r>
      <w:r w:rsidRPr="00A26DA2">
        <w:rPr>
          <w:rFonts w:ascii="TH NiramitIT๙" w:hAnsi="TH NiramitIT๙" w:cs="TH NiramitIT๙" w:hint="cs"/>
          <w:b/>
          <w:bCs/>
          <w:color w:val="00B05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00B050"/>
        </w:rPr>
        <w:sym w:font="Wingdings" w:char="F07B"/>
      </w:r>
      <w:r w:rsidRPr="00A26DA2">
        <w:rPr>
          <w:rFonts w:ascii="TH NiramitIT๙" w:hAnsi="TH NiramitIT๙" w:cs="TH NiramitIT๙" w:hint="cs"/>
          <w:b/>
          <w:bCs/>
          <w:color w:val="00B050"/>
          <w:cs/>
        </w:rPr>
        <w:t xml:space="preserve"> </w:t>
      </w:r>
      <w:r w:rsidRPr="00A26DA2">
        <w:rPr>
          <w:rFonts w:ascii="TH NiramitIT๙" w:hAnsi="TH NiramitIT๙" w:cs="TH NiramitIT๙"/>
          <w:b/>
          <w:bCs/>
          <w:color w:val="00B050"/>
        </w:rPr>
        <w:sym w:font="Wingdings" w:char="F07B"/>
      </w:r>
      <w:r w:rsidRPr="00A26DA2">
        <w:rPr>
          <w:rFonts w:ascii="TH NiramitIT๙" w:hAnsi="TH NiramitIT๙" w:cs="TH NiramitIT๙" w:hint="cs"/>
          <w:b/>
          <w:bCs/>
          <w:color w:val="00B05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00B050"/>
        </w:rPr>
        <w:sym w:font="Wingdings" w:char="F07B"/>
      </w:r>
      <w:r w:rsidRPr="00A26DA2">
        <w:rPr>
          <w:rFonts w:ascii="TH NiramitIT๙" w:hAnsi="TH NiramitIT๙" w:cs="TH NiramitIT๙" w:hint="cs"/>
          <w:b/>
          <w:bCs/>
          <w:color w:val="00B05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  <w:r w:rsidRPr="00A26DA2">
        <w:rPr>
          <w:rFonts w:ascii="TH NiramitIT๙" w:hAnsi="TH NiramitIT๙" w:cs="TH NiramitIT๙"/>
          <w:b/>
          <w:bCs/>
          <w:color w:val="FF0000"/>
        </w:rPr>
        <w:sym w:font="Wingdings" w:char="F07B"/>
      </w:r>
    </w:p>
    <w:p w:rsidR="00A26DA2" w:rsidRPr="00A26DA2" w:rsidRDefault="00A26DA2" w:rsidP="00A26DA2">
      <w:pPr>
        <w:rPr>
          <w:rFonts w:ascii="TH NiramitIT๙" w:hAnsi="TH NiramitIT๙" w:cs="TH NiramitIT๙" w:hint="cs"/>
          <w:b/>
          <w:bCs/>
          <w:color w:val="FF0000"/>
        </w:rPr>
      </w:pPr>
    </w:p>
    <w:p w:rsidR="00A26DA2" w:rsidRPr="00A26DA2" w:rsidRDefault="00A26DA2" w:rsidP="00A26DA2">
      <w:pPr>
        <w:rPr>
          <w:rFonts w:ascii="TH NiramitIT๙" w:hAnsi="TH NiramitIT๙" w:cs="TH NiramitIT๙" w:hint="cs"/>
          <w:b/>
          <w:bCs/>
          <w:color w:val="FF0000"/>
        </w:rPr>
      </w:pPr>
    </w:p>
    <w:p w:rsidR="00A26DA2" w:rsidRPr="00A26DA2" w:rsidRDefault="00A26DA2" w:rsidP="00A26DA2">
      <w:pPr>
        <w:rPr>
          <w:rFonts w:ascii="TH NiramitIT๙" w:hAnsi="TH NiramitIT๙" w:cs="TH NiramitIT๙" w:hint="cs"/>
          <w:b/>
          <w:bCs/>
          <w:color w:val="FF0000"/>
        </w:rPr>
      </w:pPr>
    </w:p>
    <w:p w:rsidR="00A26DA2" w:rsidRPr="00A26DA2" w:rsidRDefault="00A26DA2" w:rsidP="00A26DA2">
      <w:pPr>
        <w:rPr>
          <w:rFonts w:ascii="TH NiramitIT๙" w:hAnsi="TH NiramitIT๙" w:cs="TH NiramitIT๙" w:hint="cs"/>
          <w:b/>
          <w:bCs/>
          <w:color w:val="FF0000"/>
        </w:rPr>
      </w:pPr>
    </w:p>
    <w:p w:rsidR="00A26DA2" w:rsidRPr="00A26DA2" w:rsidRDefault="00A26DA2">
      <w:pPr>
        <w:rPr>
          <w:rFonts w:ascii="TH NiramitIT๙" w:hAnsi="TH NiramitIT๙" w:cs="TH NiramitIT๙" w:hint="cs"/>
          <w:b/>
          <w:bCs/>
          <w:color w:val="FF0000"/>
        </w:rPr>
      </w:pPr>
      <w:r>
        <w:rPr>
          <w:rFonts w:ascii="TH NiramitIT๙" w:hAnsi="TH NiramitIT๙" w:cs="TH NiramitIT๙" w:hint="cs"/>
          <w:b/>
          <w:bCs/>
          <w:color w:val="FF0000"/>
          <w:cs/>
        </w:rPr>
        <w:t xml:space="preserve">  </w:t>
      </w:r>
    </w:p>
    <w:sectPr w:rsidR="00A26DA2" w:rsidRPr="00A26DA2" w:rsidSect="00A26DA2">
      <w:pgSz w:w="11906" w:h="16838"/>
      <w:pgMar w:top="709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A2"/>
    <w:rsid w:val="005564F5"/>
    <w:rsid w:val="00A26DA2"/>
    <w:rsid w:val="00C2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4CA9F"/>
  <w15:chartTrackingRefBased/>
  <w15:docId w15:val="{EBF54919-3A59-4E98-A150-89C96285E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IT๙" w:eastAsiaTheme="minorHAnsi" w:hAnsi="TH SarabunIT๙" w:cs="TH SarabunIT๙"/>
        <w:sz w:val="32"/>
        <w:szCs w:val="32"/>
        <w:lang w:val="en-GB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สไตล์1"/>
    <w:basedOn w:val="a"/>
    <w:link w:val="10"/>
    <w:qFormat/>
    <w:rsid w:val="00C2314E"/>
    <w:rPr>
      <w:rFonts w:eastAsia="Times New Roman" w:cs="Angsana New"/>
      <w:szCs w:val="28"/>
    </w:rPr>
  </w:style>
  <w:style w:type="character" w:customStyle="1" w:styleId="10">
    <w:name w:val="สไตล์1 อักขระ"/>
    <w:basedOn w:val="a0"/>
    <w:link w:val="1"/>
    <w:rsid w:val="00C2314E"/>
    <w:rPr>
      <w:rFonts w:eastAsia="Times New Roman" w:cs="Angsana New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3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7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76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1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5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3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8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2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794</Words>
  <Characters>4531</Characters>
  <Application>Microsoft Office Word</Application>
  <DocSecurity>0</DocSecurity>
  <Lines>37</Lines>
  <Paragraphs>10</Paragraphs>
  <ScaleCrop>false</ScaleCrop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2021-08-24T03:16:00Z</dcterms:created>
  <dcterms:modified xsi:type="dcterms:W3CDTF">2021-08-24T03:19:00Z</dcterms:modified>
</cp:coreProperties>
</file>